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A6" w:rsidRPr="00044AAC" w:rsidRDefault="006201A6" w:rsidP="00044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74" w:rsidRPr="00044AAC" w:rsidRDefault="006201A6" w:rsidP="00044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AAC">
        <w:rPr>
          <w:rFonts w:ascii="Times New Roman" w:hAnsi="Times New Roman" w:cs="Times New Roman"/>
          <w:b/>
          <w:sz w:val="24"/>
          <w:szCs w:val="24"/>
        </w:rPr>
        <w:t>ALEGERILE LA NIVELUL DEPARTAMENTELOR</w:t>
      </w:r>
    </w:p>
    <w:p w:rsidR="006201A6" w:rsidRPr="00044AAC" w:rsidRDefault="006201A6" w:rsidP="00044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AAC" w:rsidRPr="00044AAC" w:rsidRDefault="00044AAC" w:rsidP="00044AAC">
      <w:pPr>
        <w:pStyle w:val="Default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044AAC">
        <w:rPr>
          <w:rFonts w:ascii="Times New Roman" w:hAnsi="Times New Roman" w:cs="Times New Roman"/>
          <w:color w:val="auto"/>
        </w:rPr>
        <w:t xml:space="preserve">Alegerile la nivelul departamentelor se organizează în baza secţiunii corespunzătoare din </w:t>
      </w:r>
      <w:r w:rsidRPr="00044AAC">
        <w:rPr>
          <w:rFonts w:ascii="Times New Roman" w:hAnsi="Times New Roman" w:cs="Times New Roman"/>
          <w:bCs/>
          <w:i/>
          <w:color w:val="auto"/>
        </w:rPr>
        <w:t xml:space="preserve">Regulamentul de organizare şi desfăşurare a alegerilor şi concursurilor pentru structurile şi funcţiile de conducere </w:t>
      </w:r>
      <w:smartTag w:uri="urn:schemas-microsoft-com:office:smarttags" w:element="PersonName">
        <w:smartTagPr>
          <w:attr w:name="ProductID" w:val="la Universitatea"/>
        </w:smartTagPr>
        <w:r w:rsidRPr="00044AAC">
          <w:rPr>
            <w:rFonts w:ascii="Times New Roman" w:hAnsi="Times New Roman" w:cs="Times New Roman"/>
            <w:bCs/>
            <w:i/>
            <w:color w:val="auto"/>
          </w:rPr>
          <w:t>la Universitatea</w:t>
        </w:r>
      </w:smartTag>
      <w:r w:rsidRPr="00044AAC">
        <w:rPr>
          <w:rFonts w:ascii="Times New Roman" w:hAnsi="Times New Roman" w:cs="Times New Roman"/>
          <w:bCs/>
          <w:i/>
          <w:color w:val="auto"/>
        </w:rPr>
        <w:t xml:space="preserve"> din Oradea, Anexa 2 la Carta. </w:t>
      </w:r>
      <w:r w:rsidRPr="00044AAC">
        <w:rPr>
          <w:rFonts w:ascii="Times New Roman" w:hAnsi="Times New Roman" w:cs="Times New Roman"/>
          <w:bCs/>
          <w:color w:val="auto"/>
        </w:rPr>
        <w:t xml:space="preserve">Acestea presupun urmatoarele: </w:t>
      </w:r>
    </w:p>
    <w:p w:rsidR="00044AAC" w:rsidRPr="00044AAC" w:rsidRDefault="00044AAC" w:rsidP="00044AA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b/>
          <w:color w:val="auto"/>
        </w:rPr>
        <w:t>Locaţia este în cadrul departamentului;</w:t>
      </w:r>
    </w:p>
    <w:p w:rsidR="00044AAC" w:rsidRPr="00044AAC" w:rsidRDefault="00044AAC" w:rsidP="00044AA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 xml:space="preserve">Pentru funcţiile de director de departament, candidatura se anunţă public cu minimum 15 zile înainte de data alegerilor şi este însoţită de curriculum vitae şi program managerial. </w:t>
      </w:r>
      <w:r w:rsidRPr="00044AAC">
        <w:rPr>
          <w:rFonts w:ascii="Times New Roman" w:hAnsi="Times New Roman" w:cs="Times New Roman"/>
          <w:b/>
          <w:color w:val="auto"/>
        </w:rPr>
        <w:t>Lista de candidaturi devine buletin de vot;</w:t>
      </w:r>
    </w:p>
    <w:p w:rsidR="00044AAC" w:rsidRPr="00044AAC" w:rsidRDefault="00044AAC" w:rsidP="00044AA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b/>
          <w:color w:val="auto"/>
        </w:rPr>
        <w:t>Lista de candidati, CV-urile şi programele manageriale vor fi afisate pe site-ul facultatii la</w:t>
      </w:r>
      <w:r w:rsidRPr="00044AAC">
        <w:rPr>
          <w:rFonts w:ascii="Times New Roman" w:hAnsi="Times New Roman" w:cs="Times New Roman"/>
          <w:b/>
          <w:color w:val="auto"/>
        </w:rPr>
        <w:t xml:space="preserve"> butonul „Alegeri academice 2019/2020</w:t>
      </w:r>
      <w:r w:rsidRPr="00044AAC">
        <w:rPr>
          <w:rFonts w:ascii="Times New Roman" w:hAnsi="Times New Roman" w:cs="Times New Roman"/>
          <w:b/>
          <w:color w:val="auto"/>
        </w:rPr>
        <w:t>”,</w:t>
      </w:r>
      <w:r w:rsidRPr="00044AAC">
        <w:rPr>
          <w:rFonts w:ascii="Times New Roman" w:hAnsi="Times New Roman" w:cs="Times New Roman"/>
          <w:color w:val="auto"/>
        </w:rPr>
        <w:t xml:space="preserve"> in 24 de ore de la finalizarea depunerii candidaturilor;</w:t>
      </w:r>
    </w:p>
    <w:p w:rsidR="00044AAC" w:rsidRPr="00044AAC" w:rsidRDefault="00044AAC" w:rsidP="00044AA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După alegerea directorului de departament se procedează la alegerea membrilor Consiliului departamentului. Numărul acestora este stabilit la nivelul facultăţii;</w:t>
      </w:r>
    </w:p>
    <w:p w:rsidR="00044AAC" w:rsidRPr="00044AAC" w:rsidRDefault="00044AAC" w:rsidP="00044AA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Colectivul departamentului îşi desemnează, prin vot secret şi direct, ordinea candidaţilor pentru funcţia de membru în Consiliul facultăţii;</w:t>
      </w:r>
    </w:p>
    <w:p w:rsidR="00044AAC" w:rsidRPr="00044AAC" w:rsidRDefault="00044AAC" w:rsidP="00044AA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Rezultatele alegerilor vor fi afisate pe site in 24 de ore de la finalizarea alegerilor la nivelul facultatii si transmise spre validare Senatului universitar.</w:t>
      </w:r>
    </w:p>
    <w:p w:rsidR="00044AAC" w:rsidRPr="00044AAC" w:rsidRDefault="00044AAC" w:rsidP="00044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prezidată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decanul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vârstă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>,</w:t>
      </w:r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i/>
          <w:sz w:val="24"/>
          <w:szCs w:val="24"/>
        </w:rPr>
        <w:t>asistat</w:t>
      </w:r>
      <w:proofErr w:type="spellEnd"/>
      <w:r w:rsidRPr="00044AAC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i/>
          <w:sz w:val="24"/>
          <w:szCs w:val="24"/>
        </w:rPr>
        <w:t>cel</w:t>
      </w:r>
      <w:proofErr w:type="spellEnd"/>
      <w:r w:rsidRPr="00044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i/>
          <w:sz w:val="24"/>
          <w:szCs w:val="24"/>
        </w:rPr>
        <w:t>mai</w:t>
      </w:r>
      <w:proofErr w:type="spellEnd"/>
      <w:r w:rsidRPr="00044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i/>
          <w:sz w:val="24"/>
          <w:szCs w:val="24"/>
        </w:rPr>
        <w:t>tânăr</w:t>
      </w:r>
      <w:proofErr w:type="spellEnd"/>
      <w:r w:rsidRPr="00044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i/>
          <w:sz w:val="24"/>
          <w:szCs w:val="24"/>
        </w:rPr>
        <w:t>membru</w:t>
      </w:r>
      <w:proofErr w:type="spellEnd"/>
      <w:r w:rsidRPr="00044AAC">
        <w:rPr>
          <w:rFonts w:ascii="Times New Roman" w:hAnsi="Times New Roman" w:cs="Times New Roman"/>
          <w:b/>
          <w:i/>
          <w:sz w:val="24"/>
          <w:szCs w:val="24"/>
        </w:rPr>
        <w:t xml:space="preserve"> al </w:t>
      </w:r>
      <w:proofErr w:type="spellStart"/>
      <w:r w:rsidRPr="00044AAC">
        <w:rPr>
          <w:rFonts w:ascii="Times New Roman" w:hAnsi="Times New Roman" w:cs="Times New Roman"/>
          <w:b/>
          <w:i/>
          <w:sz w:val="24"/>
          <w:szCs w:val="24"/>
        </w:rPr>
        <w:t>structurii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deschide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raportul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directorului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discuții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cercetătorii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titulari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)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universitate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pornind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curriculum vitae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program managerial. 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candidaturi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devine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buletin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directorului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membrilor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votul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universal, direct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secret</w:t>
      </w:r>
      <w:r w:rsidRPr="00044AA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titulare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AAC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obţine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majoritatea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voturilor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>",</w:t>
      </w:r>
      <w:r w:rsidRPr="00044AA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total al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prezenţi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proporţie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puţin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2/3 din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membrilor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titulari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ales director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6201A6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candidate nu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scrutin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primii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clasaţi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care, la al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scrutin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ales din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nu </w:t>
      </w:r>
      <w:proofErr w:type="gramStart"/>
      <w:r w:rsidRPr="00044A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reluată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in maximum 3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maximum 2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şedinţe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lastRenderedPageBreak/>
        <w:t>Dacă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se pot face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scrutin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department nu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condiţionată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majorităţii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”.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finalizează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albe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abţinerilor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convoacă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2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care se pot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5B" w:rsidRPr="00044AAC" w:rsidRDefault="006201A6" w:rsidP="0004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AAC">
        <w:rPr>
          <w:rFonts w:ascii="Times New Roman" w:hAnsi="Times New Roman" w:cs="Times New Roman"/>
          <w:b/>
          <w:sz w:val="24"/>
          <w:szCs w:val="24"/>
        </w:rPr>
        <w:t>ALEGEREA MEMBRILOR CONSILIULUI DEPARTAMENTULUI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procedează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membrilor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universal, direct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secret</w:t>
      </w:r>
      <w:r w:rsidRPr="00044AA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titulare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eligibili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 face parte din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3BAA" w:rsidRPr="00044AAC" w:rsidRDefault="00A83BAA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Rezumatul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activităţii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şedinţa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consemnat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>-un process verbal,</w:t>
      </w:r>
      <w:r w:rsidRPr="00044AA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semnăturile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rezultatul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votului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>,</w:t>
      </w:r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director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membrilor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validare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A83BAA" w:rsidRPr="00044AAC" w:rsidRDefault="00A83BAA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089A" w:rsidRPr="00044AAC" w:rsidRDefault="002F089A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1FE" w:rsidRPr="00044AAC" w:rsidRDefault="009A11FE" w:rsidP="0004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AAC">
        <w:rPr>
          <w:rFonts w:ascii="Times New Roman" w:hAnsi="Times New Roman" w:cs="Times New Roman"/>
          <w:sz w:val="24"/>
          <w:szCs w:val="24"/>
        </w:rPr>
        <w:br w:type="page"/>
      </w:r>
    </w:p>
    <w:p w:rsidR="002F089A" w:rsidRPr="00044AAC" w:rsidRDefault="009A11FE" w:rsidP="00044A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lastRenderedPageBreak/>
        <w:t>Universitatea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din Oradea</w:t>
      </w:r>
    </w:p>
    <w:p w:rsidR="009A11FE" w:rsidRPr="00044AAC" w:rsidRDefault="009A11FE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Științe</w:t>
      </w:r>
      <w:proofErr w:type="spellEnd"/>
    </w:p>
    <w:p w:rsidR="009A11FE" w:rsidRPr="00044AAC" w:rsidRDefault="009A11FE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9A11FE" w:rsidRPr="00044AAC" w:rsidRDefault="009A11FE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1FE" w:rsidRPr="00044AAC" w:rsidRDefault="009A11FE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1FE" w:rsidRPr="00044AAC" w:rsidRDefault="009A11FE" w:rsidP="00044A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Buletin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Directorului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departament</w:t>
      </w:r>
      <w:proofErr w:type="spellEnd"/>
    </w:p>
    <w:p w:rsidR="00C3189C" w:rsidRPr="00044AAC" w:rsidRDefault="00C3189C" w:rsidP="00044AA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 xml:space="preserve">Se va aplica </w:t>
      </w:r>
      <w:r w:rsidRPr="00044AAC">
        <w:rPr>
          <w:rFonts w:ascii="Times New Roman" w:hAnsi="Times New Roman" w:cs="Times New Roman"/>
          <w:b/>
          <w:color w:val="auto"/>
        </w:rPr>
        <w:t>X</w:t>
      </w:r>
      <w:r w:rsidRPr="00044AAC">
        <w:rPr>
          <w:rFonts w:ascii="Times New Roman" w:hAnsi="Times New Roman" w:cs="Times New Roman"/>
          <w:color w:val="auto"/>
        </w:rPr>
        <w:t xml:space="preserve"> în căsuţa coresunzătoare candidatului căruia doriţi să Ii acordaţi votul </w:t>
      </w:r>
      <w:r w:rsidRPr="00044AAC">
        <w:rPr>
          <w:rFonts w:ascii="Times New Roman" w:hAnsi="Times New Roman" w:cs="Times New Roman"/>
          <w:color w:val="auto"/>
          <w:lang w:val="it-IT"/>
        </w:rPr>
        <w:t>“pentru”</w:t>
      </w:r>
      <w:r w:rsidRPr="00044AAC">
        <w:rPr>
          <w:rFonts w:ascii="Times New Roman" w:hAnsi="Times New Roman" w:cs="Times New Roman"/>
          <w:color w:val="auto"/>
        </w:rPr>
        <w:t xml:space="preserve">. </w:t>
      </w:r>
    </w:p>
    <w:p w:rsidR="002F089A" w:rsidRPr="00044AAC" w:rsidRDefault="002F089A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5528"/>
        <w:gridCol w:w="1418"/>
      </w:tblGrid>
      <w:tr w:rsidR="00044AAC" w:rsidRPr="00044AAC" w:rsidTr="009A11FE">
        <w:tc>
          <w:tcPr>
            <w:tcW w:w="1134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5528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C" w:rsidRPr="00044AAC" w:rsidTr="009A11FE">
        <w:tc>
          <w:tcPr>
            <w:tcW w:w="1134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C" w:rsidRPr="00044AAC" w:rsidTr="009A11FE">
        <w:tc>
          <w:tcPr>
            <w:tcW w:w="1134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C" w:rsidRPr="00044AAC" w:rsidTr="009A11FE">
        <w:tc>
          <w:tcPr>
            <w:tcW w:w="1134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1FE" w:rsidRPr="00044AAC" w:rsidRDefault="009A11FE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1FE" w:rsidRPr="00044AAC" w:rsidRDefault="009A11FE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6B8" w:rsidRPr="00044AAC" w:rsidRDefault="006346B8" w:rsidP="0004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AAC">
        <w:rPr>
          <w:rFonts w:ascii="Times New Roman" w:hAnsi="Times New Roman" w:cs="Times New Roman"/>
          <w:sz w:val="24"/>
          <w:szCs w:val="24"/>
        </w:rPr>
        <w:br w:type="page"/>
      </w:r>
    </w:p>
    <w:p w:rsidR="002F089A" w:rsidRPr="00044AAC" w:rsidRDefault="002F089A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din Oradea</w:t>
      </w: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Științe</w:t>
      </w:r>
      <w:proofErr w:type="spellEnd"/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Buletin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membrilor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departament</w:t>
      </w:r>
      <w:r w:rsidRPr="00044AAC">
        <w:rPr>
          <w:rFonts w:ascii="Times New Roman" w:hAnsi="Times New Roman" w:cs="Times New Roman"/>
          <w:b/>
          <w:sz w:val="24"/>
          <w:szCs w:val="24"/>
        </w:rPr>
        <w:t>ului</w:t>
      </w:r>
      <w:proofErr w:type="spellEnd"/>
    </w:p>
    <w:p w:rsidR="006346B8" w:rsidRPr="00044AAC" w:rsidRDefault="006346B8" w:rsidP="00044AA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 xml:space="preserve">Se va aplica </w:t>
      </w:r>
      <w:r w:rsidRPr="00044AAC">
        <w:rPr>
          <w:rFonts w:ascii="Times New Roman" w:hAnsi="Times New Roman" w:cs="Times New Roman"/>
          <w:b/>
          <w:color w:val="auto"/>
        </w:rPr>
        <w:t>X</w:t>
      </w:r>
      <w:r w:rsidRPr="00044AAC">
        <w:rPr>
          <w:rFonts w:ascii="Times New Roman" w:hAnsi="Times New Roman" w:cs="Times New Roman"/>
          <w:color w:val="auto"/>
        </w:rPr>
        <w:t xml:space="preserve"> în căsuţa coresunzătoare candidatului căruia doriţi să Ii acordaţi votul </w:t>
      </w:r>
      <w:r w:rsidRPr="00044AAC">
        <w:rPr>
          <w:rFonts w:ascii="Times New Roman" w:hAnsi="Times New Roman" w:cs="Times New Roman"/>
          <w:color w:val="auto"/>
          <w:lang w:val="it-IT"/>
        </w:rPr>
        <w:t>“pentru”</w:t>
      </w:r>
      <w:r w:rsidRPr="00044AAC">
        <w:rPr>
          <w:rFonts w:ascii="Times New Roman" w:hAnsi="Times New Roman" w:cs="Times New Roman"/>
          <w:color w:val="auto"/>
        </w:rPr>
        <w:t xml:space="preserve">. </w:t>
      </w: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5528"/>
        <w:gridCol w:w="1418"/>
      </w:tblGrid>
      <w:tr w:rsidR="00044AAC" w:rsidRPr="00044AAC" w:rsidTr="0018714A">
        <w:tc>
          <w:tcPr>
            <w:tcW w:w="1134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5528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AAC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C" w:rsidRPr="00044AAC" w:rsidTr="0018714A">
        <w:tc>
          <w:tcPr>
            <w:tcW w:w="1134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C" w:rsidRPr="00044AAC" w:rsidTr="0018714A">
        <w:tc>
          <w:tcPr>
            <w:tcW w:w="1134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AC" w:rsidRPr="00044AAC" w:rsidTr="0018714A">
        <w:tc>
          <w:tcPr>
            <w:tcW w:w="1134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6B8" w:rsidRPr="00044AAC" w:rsidRDefault="006346B8" w:rsidP="00044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089A" w:rsidRPr="00044AAC" w:rsidRDefault="002F089A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089A" w:rsidRPr="00044AAC" w:rsidRDefault="002F089A" w:rsidP="0004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AAC">
        <w:rPr>
          <w:rFonts w:ascii="Times New Roman" w:hAnsi="Times New Roman" w:cs="Times New Roman"/>
          <w:sz w:val="24"/>
          <w:szCs w:val="24"/>
        </w:rPr>
        <w:br w:type="page"/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215B" w:rsidRPr="00044AAC" w:rsidRDefault="006201A6" w:rsidP="0004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AAC">
        <w:rPr>
          <w:rFonts w:ascii="Times New Roman" w:hAnsi="Times New Roman" w:cs="Times New Roman"/>
          <w:b/>
          <w:sz w:val="24"/>
          <w:szCs w:val="24"/>
        </w:rPr>
        <w:t>ALEGEREA MEMBRILOR CONSILIULUI FACULTĂȚII</w:t>
      </w: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Candidaturile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r w:rsidRPr="00044AAC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depun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secretariatul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1A6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candidaturi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titulare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ale</w:t>
      </w:r>
      <w:r w:rsidR="006201A6"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Ordinea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candidaţilor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funcţia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alfabetică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6B8" w:rsidRPr="00044AAC" w:rsidRDefault="006346B8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46B8">
        <w:rPr>
          <w:rFonts w:ascii="Times New Roman" w:hAnsi="Times New Roman" w:cs="Times New Roman"/>
          <w:sz w:val="24"/>
          <w:szCs w:val="24"/>
        </w:rPr>
        <w:t>Colectivul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desemnează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secret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direct</w:t>
      </w:r>
      <w:r w:rsidRPr="00634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ordinea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candidaților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funcția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634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b/>
          <w:sz w:val="24"/>
          <w:szCs w:val="24"/>
        </w:rPr>
        <w:t>facultății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6346B8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 executive a </w:t>
      </w:r>
      <w:proofErr w:type="spellStart"/>
      <w:r w:rsidRPr="006346B8"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Pr="00634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BAA" w:rsidRPr="00044AAC" w:rsidRDefault="00A83BAA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Rezumatul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activităţii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şedinţa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consemnat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-un </w:t>
      </w:r>
      <w:r w:rsidR="00A83BAA" w:rsidRPr="00044AAC">
        <w:rPr>
          <w:rFonts w:ascii="Times New Roman" w:hAnsi="Times New Roman" w:cs="Times New Roman"/>
          <w:b/>
          <w:sz w:val="24"/>
          <w:szCs w:val="24"/>
        </w:rPr>
        <w:t xml:space="preserve">process </w:t>
      </w:r>
      <w:r w:rsidRPr="00044AAC">
        <w:rPr>
          <w:rFonts w:ascii="Times New Roman" w:hAnsi="Times New Roman" w:cs="Times New Roman"/>
          <w:b/>
          <w:sz w:val="24"/>
          <w:szCs w:val="24"/>
        </w:rPr>
        <w:t>verbal,</w:t>
      </w:r>
      <w:r w:rsidRPr="00044AA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semnăturile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votul</w:t>
      </w:r>
      <w:r w:rsidR="006346B8" w:rsidRPr="00044AAC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6346B8"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candidaţilor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funcţia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="00A83BAA" w:rsidRPr="0004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b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b/>
          <w:sz w:val="24"/>
          <w:szCs w:val="24"/>
        </w:rPr>
        <w:t>.</w:t>
      </w:r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validare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A83BAA"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nulitatea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absolută</w:t>
      </w:r>
      <w:proofErr w:type="spellEnd"/>
      <w:r w:rsidR="006346B8"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A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Nulitatea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="006346B8"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2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invalidare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Contestarea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24 de ore de la</w:t>
      </w:r>
      <w:r w:rsidR="006346B8" w:rsidRPr="00044AAC">
        <w:rPr>
          <w:rFonts w:ascii="Times New Roman" w:hAnsi="Times New Roman" w:cs="Times New Roman"/>
          <w:sz w:val="24"/>
          <w:szCs w:val="24"/>
        </w:rPr>
        <w:t xml:space="preserve"> </w:t>
      </w:r>
      <w:r w:rsidRPr="00044AA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finalizării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contestaţii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decanatul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AC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contestaţiei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44AAC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44AAC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de 48 de ore de la</w:t>
      </w:r>
      <w:r w:rsidR="006346B8"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AC">
        <w:rPr>
          <w:rFonts w:ascii="Times New Roman" w:hAnsi="Times New Roman" w:cs="Times New Roman"/>
          <w:sz w:val="24"/>
          <w:szCs w:val="24"/>
        </w:rPr>
        <w:t>contestaţiei</w:t>
      </w:r>
      <w:proofErr w:type="spellEnd"/>
      <w:r w:rsidRPr="00044AAC">
        <w:rPr>
          <w:rFonts w:ascii="Times New Roman" w:hAnsi="Times New Roman" w:cs="Times New Roman"/>
          <w:sz w:val="24"/>
          <w:szCs w:val="24"/>
        </w:rPr>
        <w:t>.</w:t>
      </w:r>
    </w:p>
    <w:p w:rsidR="009D215B" w:rsidRPr="00044AAC" w:rsidRDefault="009D215B" w:rsidP="0004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5B" w:rsidRPr="00044AAC" w:rsidRDefault="009D215B" w:rsidP="0004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AC">
        <w:rPr>
          <w:rFonts w:ascii="Times New Roman" w:hAnsi="Times New Roman" w:cs="Times New Roman"/>
          <w:sz w:val="24"/>
          <w:szCs w:val="24"/>
        </w:rPr>
        <w:br w:type="page"/>
      </w: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Universitatea din Oradea</w:t>
      </w: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Facultatea de Informatică și Științe</w:t>
      </w:r>
    </w:p>
    <w:p w:rsidR="006346B8" w:rsidRPr="00044AAC" w:rsidRDefault="006346B8" w:rsidP="00044AA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346B8" w:rsidRPr="00044AAC" w:rsidRDefault="006346B8" w:rsidP="00044AA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44AAC">
        <w:rPr>
          <w:rFonts w:ascii="Times New Roman" w:hAnsi="Times New Roman" w:cs="Times New Roman"/>
          <w:b/>
          <w:color w:val="auto"/>
        </w:rPr>
        <w:t>Buletin de vot pentru alegerea membrilor Consiliului facultăţii</w:t>
      </w:r>
    </w:p>
    <w:p w:rsidR="006346B8" w:rsidRPr="00044AAC" w:rsidRDefault="006346B8" w:rsidP="00044AA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44AAC">
        <w:rPr>
          <w:rFonts w:ascii="Times New Roman" w:hAnsi="Times New Roman" w:cs="Times New Roman"/>
          <w:b/>
          <w:color w:val="auto"/>
        </w:rPr>
        <w:t>(cadre didactice şi cercetători)</w:t>
      </w:r>
    </w:p>
    <w:p w:rsidR="006346B8" w:rsidRPr="00044AAC" w:rsidRDefault="006346B8" w:rsidP="00044AA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6346B8" w:rsidRPr="00044AAC" w:rsidRDefault="006346B8" w:rsidP="00044AA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 xml:space="preserve">Pentru fiecare departament se va aplica ştampila de vot „VOTAT” în căsuţele coresunzătoare candidaţilor cărora doriţi să le acordaţi votul </w:t>
      </w:r>
      <w:r w:rsidRPr="00044AAC">
        <w:rPr>
          <w:rFonts w:ascii="Times New Roman" w:hAnsi="Times New Roman" w:cs="Times New Roman"/>
          <w:color w:val="auto"/>
          <w:lang w:val="it-IT"/>
        </w:rPr>
        <w:t>“pentru”</w:t>
      </w:r>
      <w:r w:rsidRPr="00044AAC">
        <w:rPr>
          <w:rFonts w:ascii="Times New Roman" w:hAnsi="Times New Roman" w:cs="Times New Roman"/>
          <w:color w:val="auto"/>
        </w:rPr>
        <w:t xml:space="preserve">. Numărul ştampilelor aplicate trebuie să fie </w:t>
      </w:r>
      <w:r w:rsidRPr="00044AAC">
        <w:rPr>
          <w:rFonts w:ascii="Times New Roman" w:hAnsi="Times New Roman" w:cs="Times New Roman"/>
          <w:b/>
          <w:color w:val="auto"/>
        </w:rPr>
        <w:t>cel mult egal</w:t>
      </w:r>
      <w:r w:rsidRPr="00044AAC">
        <w:rPr>
          <w:rFonts w:ascii="Times New Roman" w:hAnsi="Times New Roman" w:cs="Times New Roman"/>
          <w:color w:val="auto"/>
        </w:rPr>
        <w:t xml:space="preserve"> cu numărul de locuri </w:t>
      </w:r>
      <w:r w:rsidRPr="00044AAC">
        <w:rPr>
          <w:rFonts w:ascii="Times New Roman" w:hAnsi="Times New Roman" w:cs="Times New Roman"/>
          <w:b/>
          <w:color w:val="auto"/>
        </w:rPr>
        <w:t>eligibile (care se ocupă prin vot)</w:t>
      </w:r>
      <w:r w:rsidRPr="00044AAC">
        <w:rPr>
          <w:rFonts w:ascii="Times New Roman" w:hAnsi="Times New Roman" w:cs="Times New Roman"/>
          <w:color w:val="auto"/>
        </w:rPr>
        <w:t xml:space="preserve"> alocat departamentului, </w:t>
      </w:r>
      <w:r w:rsidRPr="00044AAC">
        <w:rPr>
          <w:rFonts w:ascii="Times New Roman" w:hAnsi="Times New Roman" w:cs="Times New Roman"/>
          <w:b/>
          <w:color w:val="auto"/>
        </w:rPr>
        <w:t>altfel buletinul de vot se anulează</w:t>
      </w:r>
      <w:r w:rsidRPr="00044AAC">
        <w:rPr>
          <w:rFonts w:ascii="Times New Roman" w:hAnsi="Times New Roman" w:cs="Times New Roman"/>
          <w:color w:val="auto"/>
        </w:rPr>
        <w:t>.</w:t>
      </w:r>
    </w:p>
    <w:p w:rsidR="006346B8" w:rsidRPr="00044AAC" w:rsidRDefault="006346B8" w:rsidP="00044AA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După votarea candidaţilor dintr-un departament, se trece la votarea celor din departamentul următor.</w:t>
      </w:r>
    </w:p>
    <w:p w:rsidR="006346B8" w:rsidRPr="00044AAC" w:rsidRDefault="006346B8" w:rsidP="00044AAC">
      <w:pPr>
        <w:pStyle w:val="Default"/>
        <w:tabs>
          <w:tab w:val="left" w:pos="1227"/>
        </w:tabs>
        <w:rPr>
          <w:rFonts w:ascii="Times New Roman" w:hAnsi="Times New Roman" w:cs="Times New Roman"/>
          <w:b/>
          <w:color w:val="auto"/>
        </w:rPr>
      </w:pPr>
      <w:r w:rsidRPr="00044AAC">
        <w:rPr>
          <w:rFonts w:ascii="Times New Roman" w:hAnsi="Times New Roman" w:cs="Times New Roman"/>
          <w:b/>
          <w:color w:val="auto"/>
        </w:rPr>
        <w:tab/>
      </w: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Departamentul________</w:t>
      </w: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 xml:space="preserve">Nr. locuri </w:t>
      </w:r>
      <w:r w:rsidRPr="00044AAC">
        <w:rPr>
          <w:rFonts w:ascii="Times New Roman" w:hAnsi="Times New Roman" w:cs="Times New Roman"/>
          <w:b/>
          <w:color w:val="auto"/>
        </w:rPr>
        <w:t>eligibile</w:t>
      </w:r>
      <w:r w:rsidRPr="00044AAC">
        <w:rPr>
          <w:rFonts w:ascii="Times New Roman" w:hAnsi="Times New Roman" w:cs="Times New Roman"/>
          <w:color w:val="auto"/>
        </w:rPr>
        <w:t xml:space="preserve"> alocat departamentului pentru Consiliul facultăţii :  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16"/>
        <w:gridCol w:w="270"/>
        <w:gridCol w:w="1170"/>
      </w:tblGrid>
      <w:tr w:rsidR="006346B8" w:rsidRPr="00044AAC" w:rsidTr="0018714A">
        <w:tc>
          <w:tcPr>
            <w:tcW w:w="672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Nr.</w:t>
            </w: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Crt.</w:t>
            </w:r>
          </w:p>
        </w:tc>
        <w:tc>
          <w:tcPr>
            <w:tcW w:w="4116" w:type="dxa"/>
          </w:tcPr>
          <w:p w:rsidR="006346B8" w:rsidRPr="00044AAC" w:rsidRDefault="006346B8" w:rsidP="00044A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Nume şi Prenume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346B8" w:rsidRPr="00044AAC" w:rsidTr="0018714A">
        <w:tc>
          <w:tcPr>
            <w:tcW w:w="672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116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46B8" w:rsidRPr="00044AAC" w:rsidTr="0018714A">
        <w:tc>
          <w:tcPr>
            <w:tcW w:w="672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6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Departamentul________</w:t>
      </w: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  <w:lang w:val="it-IT"/>
        </w:rPr>
      </w:pPr>
      <w:r w:rsidRPr="00044AAC">
        <w:rPr>
          <w:rFonts w:ascii="Times New Roman" w:hAnsi="Times New Roman" w:cs="Times New Roman"/>
          <w:color w:val="auto"/>
        </w:rPr>
        <w:t xml:space="preserve">Nr.locuri alocat departamentului pentru Consiliul facultăţii :  </w:t>
      </w:r>
      <w:r w:rsidRPr="00044AAC">
        <w:rPr>
          <w:rFonts w:ascii="Times New Roman" w:hAnsi="Times New Roman" w:cs="Times New Roman"/>
          <w:color w:val="auto"/>
          <w:lang w:val="it-IT"/>
        </w:rPr>
        <w:t>___</w:t>
      </w: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16"/>
        <w:gridCol w:w="270"/>
        <w:gridCol w:w="1170"/>
      </w:tblGrid>
      <w:tr w:rsidR="006346B8" w:rsidRPr="00044AAC" w:rsidTr="0018714A">
        <w:tc>
          <w:tcPr>
            <w:tcW w:w="672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Nr.</w:t>
            </w: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Crt.</w:t>
            </w:r>
          </w:p>
        </w:tc>
        <w:tc>
          <w:tcPr>
            <w:tcW w:w="4116" w:type="dxa"/>
          </w:tcPr>
          <w:p w:rsidR="006346B8" w:rsidRPr="00044AAC" w:rsidRDefault="006346B8" w:rsidP="00044A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Nume şi Prenume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346B8" w:rsidRPr="00044AAC" w:rsidTr="0018714A">
        <w:tc>
          <w:tcPr>
            <w:tcW w:w="672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116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46B8" w:rsidRPr="00044AAC" w:rsidTr="0018714A">
        <w:tc>
          <w:tcPr>
            <w:tcW w:w="672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44AAC"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6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</w:tcPr>
          <w:p w:rsidR="006346B8" w:rsidRPr="00044AAC" w:rsidRDefault="006346B8" w:rsidP="00044A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4AAC">
        <w:rPr>
          <w:rFonts w:ascii="Times New Roman" w:hAnsi="Times New Roman" w:cs="Times New Roman"/>
          <w:color w:val="auto"/>
        </w:rPr>
        <w:t>...</w:t>
      </w:r>
    </w:p>
    <w:p w:rsidR="006346B8" w:rsidRPr="00044AAC" w:rsidRDefault="006346B8" w:rsidP="00044AAC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6346B8" w:rsidRPr="00044A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54" w:rsidRDefault="00763954" w:rsidP="00A83BAA">
      <w:pPr>
        <w:spacing w:after="0" w:line="240" w:lineRule="auto"/>
      </w:pPr>
      <w:r>
        <w:separator/>
      </w:r>
    </w:p>
  </w:endnote>
  <w:endnote w:type="continuationSeparator" w:id="0">
    <w:p w:rsidR="00763954" w:rsidRDefault="00763954" w:rsidP="00A8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294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3BAA" w:rsidRDefault="00A83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A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3BAA" w:rsidRDefault="00A83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54" w:rsidRDefault="00763954" w:rsidP="00A83BAA">
      <w:pPr>
        <w:spacing w:after="0" w:line="240" w:lineRule="auto"/>
      </w:pPr>
      <w:r>
        <w:separator/>
      </w:r>
    </w:p>
  </w:footnote>
  <w:footnote w:type="continuationSeparator" w:id="0">
    <w:p w:rsidR="00763954" w:rsidRDefault="00763954" w:rsidP="00A8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D71"/>
    <w:multiLevelType w:val="hybridMultilevel"/>
    <w:tmpl w:val="C3AE8380"/>
    <w:lvl w:ilvl="0" w:tplc="D3FE369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C2A54"/>
    <w:multiLevelType w:val="hybridMultilevel"/>
    <w:tmpl w:val="1CD6AB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417328"/>
    <w:multiLevelType w:val="hybridMultilevel"/>
    <w:tmpl w:val="152C7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6E"/>
    <w:rsid w:val="00044AAC"/>
    <w:rsid w:val="002F089A"/>
    <w:rsid w:val="0039526E"/>
    <w:rsid w:val="005E1D74"/>
    <w:rsid w:val="006201A6"/>
    <w:rsid w:val="006346B8"/>
    <w:rsid w:val="00763954"/>
    <w:rsid w:val="008B1161"/>
    <w:rsid w:val="009A11FE"/>
    <w:rsid w:val="009D215B"/>
    <w:rsid w:val="00A83BAA"/>
    <w:rsid w:val="00C3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89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8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AA"/>
  </w:style>
  <w:style w:type="paragraph" w:styleId="Footer">
    <w:name w:val="footer"/>
    <w:basedOn w:val="Normal"/>
    <w:link w:val="FooterChar"/>
    <w:uiPriority w:val="99"/>
    <w:unhideWhenUsed/>
    <w:rsid w:val="00A8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89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8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AA"/>
  </w:style>
  <w:style w:type="paragraph" w:styleId="Footer">
    <w:name w:val="footer"/>
    <w:basedOn w:val="Normal"/>
    <w:link w:val="FooterChar"/>
    <w:uiPriority w:val="99"/>
    <w:unhideWhenUsed/>
    <w:rsid w:val="00A8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4</cp:revision>
  <dcterms:created xsi:type="dcterms:W3CDTF">2019-09-26T13:36:00Z</dcterms:created>
  <dcterms:modified xsi:type="dcterms:W3CDTF">2019-10-08T06:22:00Z</dcterms:modified>
</cp:coreProperties>
</file>